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7166AE" w:rsidRPr="000D0919"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2025-2029</w:t>
      </w:r>
    </w:p>
    <w:p w:rsidR="007166AE" w:rsidRPr="000D0919" w:rsidP="007166AE">
      <w:pPr>
        <w:pStyle w:val="ESIntroParagraph"/>
        <w:ind w:left="-567" w:right="1697" w:firstLine="1107"/>
        <w:rPr>
          <w:color w:val="595959" w:themeColor="text1" w:themeTint="A6"/>
          <w:lang w:val="en-AU"/>
        </w:rPr>
      </w:pPr>
      <w:r w:rsidRPr="000D0919">
        <w:rPr>
          <w:noProof/>
          <w:color w:val="595959" w:themeColor="text1" w:themeTint="A6"/>
          <w:lang w:val="en-AU"/>
        </w:rPr>
        <w:t>Talbot Primary School (0954)</w:t>
      </w:r>
    </w:p>
    <w:p w:rsidR="007166AE" w:rsidRPr="000D0919" w:rsidP="007166AE">
      <w:pPr>
        <w:pStyle w:val="ESIntroParagraph"/>
        <w:ind w:left="-567" w:right="4330"/>
        <w:rPr>
          <w:lang w:val="en-AU"/>
        </w:rPr>
      </w:pPr>
    </w:p>
    <w:p w:rsidR="007166AE" w:rsidRPr="000D0919" w:rsidP="007166AE">
      <w:pPr>
        <w:pStyle w:val="Heading1"/>
        <w:ind w:left="-567"/>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jc w:val="center"/>
        <w:rPr>
          <w:lang w:val="en-AU"/>
        </w:rPr>
      </w:pPr>
      <w:r w:rsidRPr="000D0919">
        <w:rPr>
          <w:b w:val="0"/>
          <w:noProof/>
          <w:sz w:val="44"/>
          <w:szCs w:val="44"/>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2753109" cy="3810532"/>
            <wp:wrapNone/>
            <wp:docPr id="100027" name=""/>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xmlns:r="http://schemas.openxmlformats.org/officeDocument/2006/relationships" r:embed="rId9"/>
                    <a:stretch>
                      <a:fillRect/>
                    </a:stretch>
                  </pic:blipFill>
                  <pic:spPr>
                    <a:xfrm>
                      <a:off x="0" y="0"/>
                      <a:ext cx="2753109" cy="3810532"/>
                    </a:xfrm>
                    <a:prstGeom prst="rect">
                      <a:avLst/>
                    </a:prstGeom>
                  </pic:spPr>
                </pic:pic>
              </a:graphicData>
            </a:graphic>
          </wp:anchor>
        </w:drawing>
      </w:r>
    </w:p>
    <w:p w:rsidR="007166AE" w:rsidRPr="000D0919" w:rsidP="007166AE">
      <w:pPr>
        <w:pStyle w:val="ESBodyText"/>
        <w:rPr>
          <w:lang w:val="en-AU"/>
        </w:rPr>
        <w:sectPr w:rsidSect="008E169D">
          <w:headerReference w:type="even" r:id="rId10"/>
          <w:headerReference w:type="default" r:id="rId11"/>
          <w:footerReference w:type="even" r:id="rId12"/>
          <w:footerReference w:type="default" r:id="rId13"/>
          <w:headerReference w:type="first" r:id="rId14"/>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rsidR="007166AE" w:rsidP="007166AE">
                            <w:pPr>
                              <w:pStyle w:val="ESBodyText"/>
                            </w:pPr>
                            <w:r>
                              <w:rPr>
                                <w:noProof/>
                              </w:rPr>
                              <w:t>Submitted for review by Tess Kelly (School Principal) on 21 July, 2025 at 11:15 AM</w:t>
                              <w:br/>
                              <w:t>Endorsed by Kim Saddlier (Senior Education Improvement Leader) on 21 July, 2025 at 11:17 AM</w:t>
                              <w:br/>
                              <w:t>Awaiting endorsement by School Council President</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Submitted for review by Tess Kelly (School Principal) on 21 July, 2025 at 11:15 AM</w:t>
                        <w:br/>
                        <w:t>Endorsed by Kim Saddlier (Senior Education Improvement Leader) on 21 July, 2025 at 11:17 AM</w:t>
                        <w:br/>
                        <w:t>Awaiting endorsement by School Council President</w:t>
                        <w:br/>
                      </w:r>
                    </w:p>
                  </w:txbxContent>
                </v:textbox>
                <w10:wrap anchorx="margin"/>
                <w10:anchorlock/>
              </v:shape>
            </w:pict>
          </mc:Fallback>
        </mc:AlternateContent>
      </w: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2025-2029</w:t>
      </w:r>
    </w:p>
    <w:p w:rsidR="007166AE" w:rsidRPr="000D0919"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Talbot Primary School (0954)</w:t>
      </w:r>
    </w:p>
    <w:p w:rsidR="007166AE" w:rsidRPr="000D0919"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3119"/>
        <w:gridCol w:w="11996"/>
      </w:tblGrid>
      <w:tr w:rsidTr="009B10A5">
        <w:tblPrEx>
          <w:tblW w:w="15115" w:type="dxa"/>
          <w:tblInd w:w="-450"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noWrap w:val="0"/>
          </w:tcPr>
          <w:p w:rsidR="007166AE" w:rsidRPr="000D0919" w:rsidP="009B10A5">
            <w:pPr>
              <w:pStyle w:val="ESBodyText"/>
              <w:spacing w:after="0"/>
              <w:rPr>
                <w:color w:val="FFFFFF" w:themeColor="background1"/>
                <w:sz w:val="20"/>
                <w:szCs w:val="24"/>
                <w:lang w:val="en-AU"/>
              </w:rPr>
            </w:pPr>
            <w:r>
              <w:rPr>
                <w:rFonts w:ascii="Arial" w:eastAsia="Arial" w:hAnsi="Arial" w:cs="Arial"/>
                <w:sz w:val="22"/>
              </w:rPr>
              <w:t>At Talbot Primary School, we are a connected, caring, and inclusive learning community where every student is empowered to thrive. We are committed to enhancing learning outcomes for all students by delivering high-quality, evidence-based teaching practices that cater to the diverse needs of our learners. Our teaching is not just guided by our beliefs—it is reflected in the actions we take every day.</w:t>
              <w:br/>
              <w:t>We provide a dynamic and challenging curriculum within a safe and supportive environment, designed to equip every student with the knowledge, skills, and dispositions needed for success in learning and life. Our goal is to develop confident, curious, and capable learners who are not only academically strong but also socially responsible and emotionally resilient.</w:t>
              <w:br/>
              <w:t>Students at Talbot Primary School are encouraged to take ownership of their learning, set meaningful goals, and approach challenges with persistence and courage. We actively nurture student voice and agency, ensuring that every learner feels valued and heard.</w:t>
              <w:br/>
              <w:t>We place great emphasis on strong, respectful partnerships between home and school and recognise that working together with families and the broader community is essential to student success.</w:t>
              <w:br/>
              <w:t>Our values—Aspiration, Kindness, Safety, and Tenacity—are at the heart of who we are and what we stand for. They guide how we learn, how we treat others, and how we grow together.</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Aspiration – Dreaming big, setting goals, and striving for achievement.</w:t>
              <w:br/>
              <w:t>Kindness – Showing empathy, inclusion and respect for others.</w:t>
              <w:br/>
              <w:t>Safety – Promoting physical and emotional safety in all environments.</w:t>
              <w:br/>
              <w:t>Tenacity – Embracing challenges in learning and life with determination and resilience.</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Context challenges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Talbot Primary School, located in the rural township of Talbot in Victoria’s Central Goldfields Shire, has a small and fluctuating enrolment base of approximately 35 students. While the school has strong connections to its local community, long-term sustainability is challenged by declining enrolments and the rural demographic profile. Although a dedicated school bus supports access for families in surrounding areas, projected enrolments indicate a potential decrease over the coming years, which may affect the structure and delivery of educational programs.</w:t>
              <w:br/>
              <w:t>A key challenge lies in ensuring strong student outcomes in literacy and numeracy across a small and diverse student cohort. Multi-age classrooms and varying levels of readiness require teachers to implement highly effective differentiated teaching practices. Ensuring consistency and quality in differentiation—particularly for both students requiring additional support and high-ability learners—remains a priority. While the school actively participates in the Victorian High-Ability Program (VHAP) and offers enrichment opportunities, the challenge remains in building a consistent, school-wide approach to identifying, extending, and tracking growth in high-ability students, particularly in a rural, low-density context.</w:t>
              <w:br/>
              <w:t>Another pressing challenge is student attendance. Regular attendance is essential for learning, engagement, and wellbeing, yet the school continues to address irregular attendance patterns for a small but significant number of students. These patterns are often complex and impacted by family and contextual factors. Developing proactive, individualised, and community-based strategies to strengthen attendance is a critical area for improvement.</w:t>
              <w:br/>
              <w:t>Talbot Primary also faces the challenge of maintaining and enhancing a positive and inclusive learning environment that supports the needs of all students, including those with additional learning and behavioural needs. Staff are working towards full implementation of the School-Wide Positive Behaviour Support (SWPBS) framework, but further training and consistent application are required to embed a whole-school approach to behaviour, wellbeing, and inclusion.</w:t>
              <w:br/>
              <w:t>With a small staff team, building professional capacity remains an ongoing challenge. Teachers take on multiple roles, and staff turnover or extended absences can have an amplified impact on student learning and program continuity. Supporting teacher development in areas such as formative assessment, individualised learning plans, and student agency is key to sustaining improvements in student outcomes.</w:t>
              <w:br/>
              <w:t>Finally, family engagement is both a strength and an ongoing area of growth. While many families value the personalised support the school offers, deeper engagement as partners in learning—particularly in supporting learning at home, goal setting, and attendance—requires continued attention.</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 xml:space="preserve">Intent, </w:t>
            </w:r>
            <w:r w:rsidRPr="000D0919">
              <w:rPr>
                <w:sz w:val="22"/>
                <w:szCs w:val="22"/>
                <w:lang w:val="en-AU"/>
              </w:rPr>
              <w:t>rationale</w:t>
            </w:r>
            <w:r w:rsidRPr="000D0919">
              <w:rPr>
                <w:sz w:val="22"/>
                <w:szCs w:val="22"/>
                <w:lang w:val="en-AU"/>
              </w:rPr>
              <w:t xml:space="preserve"> and focus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Our intent over the next four years is to create a high-performing, inclusive learning environment that empowers every student to thrive academically, socially, and emotionally.</w:t>
              <w:br/>
              <w:t>To improve student outcomes, it is essential to focus on literacy and numeracy development through differentiated teaching and targeted feedback. Enhancing formative assessment practices will allow educators to better understand student needs and adapt instruction accordingly. At the same time, fostering student agency through goal setting and leadership opportunities encourages ownership of learning. Building strong partnerships with parents and carers, alongside improving attendance and embedding inclusive wellbeing strategies, will ensure that every student is supported holistically. The School Wide Positive Behaviour Support (SWPBS) framework will provide a consistent, evidence-based approach to behaviour and engagement across the school.</w:t>
              <w:br/>
              <w:t>Over the next four years, our strategic plan will be implemented in clearly defined phases to ensure consistent improvement in student outcomes, wellbeing, and engagement across the school community. Our approach is grounded in evidence-based practice, continuous professional learning, and strong collaboration between staff, students, and families. By implementing a phased approach, the strategic plan ensures sustainable growth, stronger student outcomes, and a connected, inclusive learning environment where every member of the school community is valued and empowered to contribute.</w:t>
            </w:r>
          </w:p>
        </w:tc>
      </w:tr>
    </w:tbl>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0"/>
          <w:szCs w:val="20"/>
          <w:lang w:val="en-AU"/>
        </w:rPr>
      </w:pPr>
    </w:p>
    <w:p w:rsidR="007166AE" w:rsidRPr="000D0919" w:rsidP="007166AE">
      <w:pPr>
        <w:pStyle w:val="ESIntroParagraph"/>
        <w:ind w:right="1708"/>
        <w:rPr>
          <w:color w:val="595959" w:themeColor="text1" w:themeTint="A6"/>
          <w:lang w:val="en-AU"/>
        </w:rPr>
        <w:sectPr w:rsidSect="008E169D">
          <w:headerReference w:type="even" r:id="rId15"/>
          <w:headerReference w:type="default" r:id="rId16"/>
          <w:footerReference w:type="default" r:id="rId17"/>
          <w:headerReference w:type="first" r:id="rId18"/>
          <w:pgSz w:w="16838" w:h="11906" w:orient="landscape" w:code="9"/>
          <w:pgMar w:top="1304" w:right="2036" w:bottom="1240" w:left="1304" w:header="624" w:footer="532" w:gutter="0"/>
          <w:pgNumType w:start="2"/>
          <w:cols w:space="397"/>
          <w:docGrid w:linePitch="360"/>
        </w:sectPr>
      </w:pP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2025-2029</w:t>
      </w:r>
    </w:p>
    <w:p w:rsidR="007166AE" w:rsidRPr="000D0919" w:rsidP="007166AE">
      <w:pPr>
        <w:ind w:left="-540" w:right="-632"/>
        <w:rPr>
          <w:color w:val="595959" w:themeColor="text1" w:themeTint="A6"/>
          <w:sz w:val="28"/>
          <w:szCs w:val="28"/>
          <w:lang w:val="en-AU"/>
        </w:rPr>
      </w:pPr>
      <w:r w:rsidRPr="000D0919">
        <w:rPr>
          <w:noProof/>
          <w:color w:val="595959" w:themeColor="text1" w:themeTint="A6"/>
          <w:sz w:val="28"/>
          <w:szCs w:val="28"/>
          <w:lang w:val="en-AU"/>
        </w:rPr>
        <w:t>Talbot Primary School (0954)</w:t>
      </w:r>
    </w:p>
    <w:p w:rsidR="007166AE" w:rsidRPr="000D0919"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4055"/>
        <w:gridCol w:w="11060"/>
      </w:tblGrid>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1</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Optimise the learning growth of every student in literacy and numeracy</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percentage of Foundation to Year 6 students assessed as at or above expected levels (Teacher Judgement, Victorian Curriculum):</w:t>
            </w:r>
            <w:r>
              <w:rPr>
                <w:rStyle w:val="DefaultParagraphFont"/>
                <w:rFonts w:ascii="Arial" w:eastAsia="Arial" w:hAnsi="Arial" w:cs="Arial"/>
                <w:b w:val="0"/>
                <w:sz w:val="22"/>
              </w:rPr>
              <w:br/>
            </w:r>
            <w:r>
              <w:rPr>
                <w:rStyle w:val="DefaultParagraphFont"/>
                <w:rFonts w:ascii="Arial" w:eastAsia="Arial" w:hAnsi="Arial" w:cs="Arial"/>
                <w:b w:val="0"/>
                <w:sz w:val="22"/>
              </w:rPr>
              <w:t>•    Reading and viewing from 62% (2021-2025 average) to 70%  </w:t>
            </w:r>
            <w:r>
              <w:rPr>
                <w:rStyle w:val="DefaultParagraphFont"/>
                <w:rFonts w:ascii="Arial" w:eastAsia="Arial" w:hAnsi="Arial" w:cs="Arial"/>
                <w:b w:val="0"/>
                <w:sz w:val="22"/>
              </w:rPr>
              <w:br/>
            </w:r>
            <w:r>
              <w:rPr>
                <w:rStyle w:val="DefaultParagraphFont"/>
                <w:rFonts w:ascii="Arial" w:eastAsia="Arial" w:hAnsi="Arial" w:cs="Arial"/>
                <w:b w:val="0"/>
                <w:sz w:val="22"/>
              </w:rPr>
              <w:t>•    Writing from 56% (2021-2025 average) to 70%  </w:t>
            </w:r>
            <w:r>
              <w:rPr>
                <w:rStyle w:val="DefaultParagraphFont"/>
                <w:rFonts w:ascii="Arial" w:eastAsia="Arial" w:hAnsi="Arial" w:cs="Arial"/>
                <w:b w:val="0"/>
                <w:sz w:val="22"/>
              </w:rPr>
              <w:br/>
            </w:r>
            <w:r>
              <w:rPr>
                <w:rStyle w:val="DefaultParagraphFont"/>
                <w:rFonts w:ascii="Arial" w:eastAsia="Arial" w:hAnsi="Arial" w:cs="Arial"/>
                <w:b w:val="0"/>
                <w:sz w:val="22"/>
              </w:rPr>
              <w:t>•    Mathematics 2.0 from xx% (2025) to xx% </w:t>
            </w:r>
          </w:p>
          <w:p>
            <w:pPr>
              <w:rPr>
                <w:rStyle w:val="DefaultParagraphFont"/>
                <w:rFonts w:ascii="Arial" w:eastAsia="Arial" w:hAnsi="Arial" w:cs="Arial"/>
                <w:b w:val="0"/>
                <w:sz w:val="22"/>
                <w:szCs w:val="22"/>
              </w:rPr>
            </w:pPr>
            <w:r>
              <w:rPr>
                <w:rStyle w:val="DefaultParagraphFont"/>
                <w:rFonts w:ascii="Arial" w:eastAsia="Arial" w:hAnsi="Arial" w:cs="Arial"/>
                <w:b w:val="0"/>
                <w:i/>
                <w:iCs/>
                <w:sz w:val="22"/>
              </w:rPr>
              <w:t>Mathematics target to be confirmed when data available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75% of all students Foundation to Year 6 to be achieving at or above expected PAT Reading and PAT Mathematics achievement bands by 2028 (calculation to be aggregated over a 2-year period)</w:t>
            </w:r>
          </w:p>
          <w:p>
            <w:pPr>
              <w:rPr>
                <w:rStyle w:val="DefaultParagraphFont"/>
                <w:rFonts w:ascii="Arial" w:eastAsia="Arial" w:hAnsi="Arial" w:cs="Arial"/>
                <w:b w:val="0"/>
                <w:sz w:val="22"/>
                <w:szCs w:val="22"/>
              </w:rPr>
            </w:pPr>
            <w:r>
              <w:rPr>
                <w:rStyle w:val="DefaultParagraphFont"/>
                <w:rFonts w:ascii="Arial" w:eastAsia="Arial" w:hAnsi="Arial" w:cs="Arial"/>
                <w:b w:val="0"/>
                <w:sz w:val="22"/>
              </w:rPr>
              <w:t>(Note: the 75% was derived from the bell curve of schools with similar SFOE)</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percentage positive endorsement for the student Attitudes to School Survey (AtoSS)</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Stimulated Learning from 84% (2021- 2024 average) to 88% over a four-year average of the SSP</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Strengthen teacher capability to collect, analyse and use data to inform differentiated learning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7B5E7"/>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Build staff capability to facilitate the co-design of learning tasks with students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7B5E7"/>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2</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Empower students in their wellbeing and to be engaged learners, leaders and citizens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improve the average attendance rate of 86% (2022- 2024) to an average of 90% over the SSP.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maintain the 2024 percentage positive endorsement on the student AtoSS for the following factors: </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Emotional awareness and regulation at 82% </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Sense of connectedness at 83% </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Student voice and agency at 81%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using the department developed 'Student Check-In Tool', reduce the yearly average of 59% (2024) of students at risk in 'Emotional Behaviour' to 45%.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Strengthen teacher knowledge and practice to engage students as partners in improving outcomes in learning and wellbeing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Embed a school-wide approach to student wellbeing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bl>
    <w:p w:rsidR="007166AE" w:rsidRPr="000D0919" w:rsidP="007166AE">
      <w:pPr>
        <w:ind w:right="-632"/>
        <w:rPr>
          <w:b/>
          <w:color w:val="AF272F"/>
          <w:sz w:val="36"/>
          <w:szCs w:val="44"/>
          <w:lang w:val="en-AU"/>
        </w:rPr>
      </w:pPr>
    </w:p>
    <w:p/>
    <w:p/>
    <w:sectPr w:rsidSect="008E169D">
      <w:headerReference w:type="even" r:id="rId19"/>
      <w:headerReference w:type="default" r:id="rId20"/>
      <w:footerReference w:type="default" r:id="rId21"/>
      <w:headerReference w:type="first" r:id="rId22"/>
      <w:pgSz w:w="16838" w:h="11906" w:orient="landscape" w:code="9"/>
      <w:pgMar w:top="1304" w:right="2036" w:bottom="1240" w:left="1304" w:header="624" w:footer="532" w:gutter="0"/>
      <w:pgNumType w:start="1"/>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6AE"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3E29B5" w:rsidP="00B076DB">
    <w:r w:rsidRPr="000C104E">
      <w:rPr>
        <w:noProof/>
        <w:lang w:val="en-AU" w:eastAsia="en-AU"/>
      </w:rPr>
      <w:drawing>
        <wp:anchor distT="0" distB="0" distL="114300" distR="114300" simplePos="0" relativeHeight="251674624" behindDoc="1" locked="0" layoutInCell="1" allowOverlap="1">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7839E6" w:rsidP="00362A9C">
    <w:pPr>
      <w:pStyle w:val="ESImageorGraphTitle"/>
      <w:rPr>
        <w:b w:val="0"/>
        <w:sz w:val="15"/>
        <w:szCs w:val="15"/>
      </w:rPr>
    </w:pPr>
    <w:r w:rsidRPr="007839E6">
      <w:rPr>
        <w:b w:val="0"/>
        <w:noProof/>
        <w:sz w:val="15"/>
        <w:szCs w:val="15"/>
      </w:rPr>
      <w:t>Talbot Primary School (0954) - School Strategic Plan</w:t>
    </w:r>
    <w:r w:rsidRPr="007839E6">
      <w:rPr>
        <w:b w:val="0"/>
        <w:noProof/>
        <w:sz w:val="15"/>
        <w:szCs w:val="15"/>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rsidR="007166AE" w:rsidRPr="007B2B29"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93BFC" w:rsidP="00793BFC">
    <w:pPr>
      <w:pStyle w:val="ESSubheading1"/>
      <w:ind w:firstLine="567"/>
      <w:rPr>
        <w:sz w:val="15"/>
        <w:szCs w:val="15"/>
      </w:rPr>
    </w:pPr>
    <w:r w:rsidRPr="00793BFC">
      <w:rPr>
        <w:noProof/>
        <w:sz w:val="15"/>
        <w:szCs w:val="15"/>
      </w:rPr>
      <w:t>Talbot Primary School (0954) - School Strategic Plan</w:t>
    </w:r>
    <w:r w:rsidRPr="00793BFC" w:rsidR="000C104E">
      <w:rPr>
        <w:noProof/>
        <w:sz w:val="15"/>
        <w:szCs w:val="15"/>
      </w:rPr>
      <w:drawing>
        <wp:anchor distT="0" distB="0" distL="114300" distR="114300" simplePos="0" relativeHeight="25166336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000000"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606CCB">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pPr>
      <w:pStyle w:val="Header"/>
    </w:pPr>
    <w:r w:rsidRPr="000C104E">
      <w:rPr>
        <w:noProof/>
        <w:lang w:val="en-AU" w:eastAsia="en-AU"/>
      </w:rPr>
      <w:drawing>
        <wp:anchor distT="0" distB="0" distL="114300" distR="114300" simplePos="0" relativeHeight="25167257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7166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1552"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sidRPr="000C104E">
      <w:rPr>
        <w:noProof/>
        <w:lang w:val="en-AU" w:eastAsia="en-AU"/>
      </w:rPr>
      <w:drawing>
        <wp:anchor distT="0" distB="0" distL="114300" distR="114300" simplePos="0" relativeHeight="251673600"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3E29B5" w:rsidP="008766A4">
    <w:r w:rsidRPr="000C104E">
      <w:rPr>
        <w:noProof/>
      </w:rPr>
      <w:drawing>
        <wp:anchor distT="0" distB="0" distL="114300" distR="114300" simplePos="0" relativeHeight="25166233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CB6DE1"/>
    <w:multiLevelType w:val="hybridMultilevel"/>
    <w:tmpl w:val="7FCB6D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footer4.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3</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95</cp:revision>
  <dcterms:created xsi:type="dcterms:W3CDTF">2017-09-11T05:00:00Z</dcterms:created>
  <dcterms:modified xsi:type="dcterms:W3CDTF">2024-01-31T06:12:00Z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